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165D8" w14:textId="3E4AB012" w:rsidR="00D518F1" w:rsidRPr="00D518F1" w:rsidRDefault="00D518F1" w:rsidP="00D518F1">
      <w:pPr>
        <w:pStyle w:val="Header"/>
        <w:tabs>
          <w:tab w:val="right" w:pos="9639"/>
        </w:tabs>
        <w:rPr>
          <w:bCs/>
          <w:noProof w:val="0"/>
          <w:sz w:val="24"/>
          <w:szCs w:val="24"/>
        </w:rPr>
      </w:pPr>
      <w:r w:rsidRPr="00D518F1">
        <w:rPr>
          <w:bCs/>
          <w:noProof w:val="0"/>
          <w:sz w:val="24"/>
          <w:szCs w:val="24"/>
        </w:rPr>
        <w:t>3GPP TSG RAN Meeting #96</w:t>
      </w:r>
      <w:r w:rsidRPr="00D518F1">
        <w:rPr>
          <w:bCs/>
          <w:noProof w:val="0"/>
          <w:sz w:val="24"/>
          <w:szCs w:val="24"/>
        </w:rPr>
        <w:tab/>
      </w:r>
      <w:r w:rsidR="001B25A6" w:rsidRPr="001B25A6">
        <w:rPr>
          <w:bCs/>
          <w:noProof w:val="0"/>
          <w:sz w:val="24"/>
          <w:szCs w:val="24"/>
        </w:rPr>
        <w:t>RP-221413</w:t>
      </w:r>
    </w:p>
    <w:p w14:paraId="08DCF0CE" w14:textId="77777777" w:rsidR="00D518F1" w:rsidRPr="00D518F1" w:rsidRDefault="00D518F1" w:rsidP="00D518F1">
      <w:pPr>
        <w:pStyle w:val="Header"/>
        <w:tabs>
          <w:tab w:val="right" w:pos="9639"/>
        </w:tabs>
        <w:rPr>
          <w:bCs/>
          <w:noProof w:val="0"/>
          <w:sz w:val="24"/>
          <w:szCs w:val="24"/>
        </w:rPr>
      </w:pPr>
      <w:r w:rsidRPr="00D518F1">
        <w:rPr>
          <w:bCs/>
          <w:noProof w:val="0"/>
          <w:sz w:val="24"/>
          <w:szCs w:val="24"/>
        </w:rPr>
        <w:t>Budapest, Hungary, June 6-9, 2022</w:t>
      </w:r>
    </w:p>
    <w:p w14:paraId="11776FA6" w14:textId="220115FF"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7576B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15C3">
        <w:rPr>
          <w:rFonts w:cs="Arial"/>
          <w:b/>
          <w:bCs/>
          <w:sz w:val="24"/>
        </w:rPr>
        <w:t>9.11</w:t>
      </w:r>
    </w:p>
    <w:p w14:paraId="73188B46" w14:textId="78656BCF"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585F7D">
        <w:rPr>
          <w:rFonts w:ascii="Arial" w:hAnsi="Arial" w:cs="Arial"/>
          <w:b/>
          <w:bCs/>
          <w:sz w:val="24"/>
        </w:rPr>
        <w:t xml:space="preserve">, </w:t>
      </w:r>
      <w:r w:rsidR="00585F7D" w:rsidRPr="00585F7D">
        <w:rPr>
          <w:rFonts w:ascii="Arial" w:hAnsi="Arial" w:cs="Arial"/>
          <w:b/>
          <w:bCs/>
          <w:sz w:val="24"/>
        </w:rPr>
        <w:t>Bell Mobility, Telus</w:t>
      </w:r>
      <w:r w:rsidR="00585F7D">
        <w:rPr>
          <w:rFonts w:ascii="Arial" w:hAnsi="Arial" w:cs="Arial"/>
          <w:b/>
          <w:bCs/>
          <w:sz w:val="24"/>
        </w:rPr>
        <w:t>, Verizon</w:t>
      </w:r>
    </w:p>
    <w:p w14:paraId="553D264F" w14:textId="173B766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B25A6">
        <w:rPr>
          <w:rFonts w:ascii="Arial" w:hAnsi="Arial" w:cs="Arial"/>
          <w:b/>
          <w:bCs/>
          <w:sz w:val="24"/>
        </w:rPr>
        <w:t>Operation in the n77 frequency band in Canada</w:t>
      </w:r>
    </w:p>
    <w:p w14:paraId="25F387E8" w14:textId="476203F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B25A6">
        <w:rPr>
          <w:rFonts w:ascii="Arial" w:hAnsi="Arial" w:cs="Arial"/>
          <w:b/>
          <w:bCs/>
          <w:sz w:val="24"/>
        </w:rPr>
        <w:t>TEI17</w:t>
      </w:r>
      <w:r w:rsidRPr="00112F1A">
        <w:rPr>
          <w:rFonts w:ascii="Arial" w:hAnsi="Arial" w:cs="Arial"/>
          <w:b/>
          <w:bCs/>
          <w:sz w:val="24"/>
        </w:rPr>
        <w:t xml:space="preserve"> </w:t>
      </w:r>
      <w:r>
        <w:rPr>
          <w:rFonts w:ascii="Arial" w:hAnsi="Arial" w:cs="Arial"/>
          <w:b/>
          <w:bCs/>
          <w:sz w:val="24"/>
        </w:rPr>
        <w:t xml:space="preserve">- Release </w:t>
      </w:r>
      <w:r w:rsidR="00CB0C10">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04FA1E" w14:textId="671A3E12" w:rsidR="00063947" w:rsidRDefault="00683773" w:rsidP="009339CB">
      <w:r>
        <w:t>As per RAN#95e decision, RAN2 has agreed to the CRs for the band n77 in Canada. However, the RAN4 CR to 38.101-1 was eventually not agreed since there was no consensus on how to handle the CA case. in this contribution, we discuss the way forward for this.</w:t>
      </w:r>
    </w:p>
    <w:p w14:paraId="7D484B6E" w14:textId="045FD453" w:rsidR="009339CB" w:rsidRPr="006E13D1" w:rsidRDefault="009339CB" w:rsidP="009339CB">
      <w:pPr>
        <w:pStyle w:val="Heading1"/>
      </w:pPr>
      <w:r w:rsidRPr="006E13D1">
        <w:t>2</w:t>
      </w:r>
      <w:r w:rsidRPr="006E13D1">
        <w:tab/>
      </w:r>
      <w:r w:rsidR="00683773">
        <w:t>Band n77 in Canada</w:t>
      </w:r>
    </w:p>
    <w:p w14:paraId="55F7B272" w14:textId="284223CE" w:rsidR="001F7584" w:rsidRDefault="001F7584" w:rsidP="001F7584">
      <w:pPr>
        <w:rPr>
          <w:noProof/>
        </w:rPr>
      </w:pPr>
      <w:r>
        <w:rPr>
          <w:noProof/>
        </w:rPr>
        <w:t xml:space="preserve">RAN2 and RAN4 were tasked by RAN to provide means to distinguish UEs that have only been certified for the currently used part of  band n77 definition in Canada (i.e. only 3450 - 3650 MHz range) and those that would be certified for the part of band n77 in Canada that will be available later (i.e. support of also 3650-3980 MHz). To do this, RAN2 agreed to the </w:t>
      </w:r>
      <w:r w:rsidRPr="001F7584">
        <w:rPr>
          <w:noProof/>
        </w:rPr>
        <w:t xml:space="preserve">CRs </w:t>
      </w:r>
      <w:r>
        <w:rPr>
          <w:noProof/>
        </w:rPr>
        <w:t>in</w:t>
      </w:r>
      <w:r w:rsidRPr="001F7584">
        <w:rPr>
          <w:noProof/>
        </w:rPr>
        <w:t xml:space="preserve"> </w:t>
      </w:r>
      <w:hyperlink r:id="rId13" w:history="1">
        <w:r w:rsidRPr="001F7584">
          <w:rPr>
            <w:rStyle w:val="Hyperlink"/>
            <w:noProof/>
          </w:rPr>
          <w:t>R2-2206564</w:t>
        </w:r>
      </w:hyperlink>
      <w:r w:rsidRPr="001F7584">
        <w:rPr>
          <w:noProof/>
        </w:rPr>
        <w:t xml:space="preserve"> (36.306), </w:t>
      </w:r>
      <w:hyperlink r:id="rId14" w:history="1">
        <w:r w:rsidRPr="001F7584">
          <w:rPr>
            <w:rStyle w:val="Hyperlink"/>
            <w:noProof/>
          </w:rPr>
          <w:t>R2-2206590</w:t>
        </w:r>
      </w:hyperlink>
      <w:r w:rsidRPr="001F7584">
        <w:rPr>
          <w:noProof/>
        </w:rPr>
        <w:t xml:space="preserve"> (36.331), </w:t>
      </w:r>
      <w:hyperlink r:id="rId15" w:history="1">
        <w:r w:rsidRPr="001F7584">
          <w:rPr>
            <w:rStyle w:val="Hyperlink"/>
            <w:noProof/>
          </w:rPr>
          <w:t>R2-2206565</w:t>
        </w:r>
      </w:hyperlink>
      <w:r w:rsidRPr="001F7584">
        <w:rPr>
          <w:noProof/>
        </w:rPr>
        <w:t xml:space="preserve"> (38.306) and </w:t>
      </w:r>
      <w:hyperlink r:id="rId16" w:history="1">
        <w:r w:rsidRPr="001F7584">
          <w:rPr>
            <w:rStyle w:val="Hyperlink"/>
            <w:noProof/>
          </w:rPr>
          <w:t>R2-2206591</w:t>
        </w:r>
      </w:hyperlink>
      <w:r w:rsidRPr="001F7584">
        <w:rPr>
          <w:noProof/>
        </w:rPr>
        <w:t xml:space="preserve"> (38.331)), but RAN4 </w:t>
      </w:r>
      <w:r>
        <w:rPr>
          <w:noProof/>
        </w:rPr>
        <w:t>was not able to agree to any CRs due to not having consensus on how to handle the NS-values in CA case. This means that the RAN2 CRs alone do not specify the n77 behaviour in Canada.</w:t>
      </w:r>
    </w:p>
    <w:p w14:paraId="0C645D65" w14:textId="5B90C1FA" w:rsidR="001F7584" w:rsidRDefault="001F7584" w:rsidP="001F7584">
      <w:pPr>
        <w:rPr>
          <w:noProof/>
        </w:rPr>
      </w:pPr>
      <w:r w:rsidRPr="001F7584">
        <w:rPr>
          <w:b/>
          <w:bCs/>
          <w:noProof/>
        </w:rPr>
        <w:t>Observation 1:</w:t>
      </w:r>
      <w:r>
        <w:rPr>
          <w:noProof/>
        </w:rPr>
        <w:t xml:space="preserve"> To specify band n77 extension in Canada, both RAN2 and RAN4 CRs need to be agreed.</w:t>
      </w:r>
    </w:p>
    <w:p w14:paraId="32EE7452" w14:textId="614FA844" w:rsidR="001F7584" w:rsidRDefault="001F7584" w:rsidP="001F7584">
      <w:pPr>
        <w:rPr>
          <w:noProof/>
        </w:rPr>
      </w:pPr>
      <w:r>
        <w:rPr>
          <w:noProof/>
        </w:rPr>
        <w:t xml:space="preserve">As backgroud, the CA issue is that currently RAN2 (RRC) specification assumes that in HO, network always signals the same value for all serving cells using the same frequency band. This is because it has always been assumed that the cells in the same frequency band support the same NS-values. However, as also described in </w:t>
      </w:r>
      <w:hyperlink r:id="rId17" w:tooltip="C:Usersmtk65284Documents3GPPtsg_ranWG2_RL2TSGR2_118-eDocsR2-2205968.zip" w:history="1">
        <w:r w:rsidR="002F1A34" w:rsidRPr="001A4E35">
          <w:rPr>
            <w:rStyle w:val="Hyperlink"/>
          </w:rPr>
          <w:t>R2-2205968</w:t>
        </w:r>
      </w:hyperlink>
      <w:r w:rsidR="002F1A34">
        <w:rPr>
          <w:noProof/>
        </w:rPr>
        <w:t xml:space="preserve">, this presents a problem in n77 since we now have "sub-bands" of n77, which may use different NS-values. Hence, either RAN2 specification needs to be changed (to allow different NS-vaues for cells using UL CA in different "parts" of n77), or it needs to be clarified that NS_01 (i.e. absence of NS-value signalling, which is also the same as meaning of NS_55 and NS_57) can be used even for a cell that (only) broadcasts NS_55 (US) or NS_57 (Canada). </w:t>
      </w:r>
    </w:p>
    <w:p w14:paraId="4D55D757" w14:textId="3EF072E2" w:rsidR="002F1A34" w:rsidRDefault="002F1A34" w:rsidP="001F7584">
      <w:pPr>
        <w:rPr>
          <w:noProof/>
        </w:rPr>
      </w:pPr>
      <w:r w:rsidRPr="002F1A34">
        <w:rPr>
          <w:b/>
          <w:bCs/>
          <w:noProof/>
        </w:rPr>
        <w:t>Observation 2:</w:t>
      </w:r>
      <w:r>
        <w:rPr>
          <w:noProof/>
        </w:rPr>
        <w:t xml:space="preserve"> The use of different NS-values to prevent camping on certain parts of n77 requires discussion on HO case with CA.</w:t>
      </w:r>
    </w:p>
    <w:p w14:paraId="7BE5F0AC" w14:textId="75473D95" w:rsidR="007A6438" w:rsidRDefault="007A6438" w:rsidP="007A6438">
      <w:r>
        <w:rPr>
          <w:noProof/>
        </w:rPr>
        <w:t>Due to the above, two approaches have been considered for the HO case with n77</w:t>
      </w:r>
      <w:r>
        <w:t>: 1) Using NS_01 for both cells, or 2)  using NS_55/57 for the extended part of n77 and NS_01 for the "legacy" part of n77. This is also shown in Figure 1, which illustrates the differences between NS_55/NS_57, US/Canada n77 spectrum and the approaches considered for the CA/HO case.</w:t>
      </w:r>
    </w:p>
    <w:p w14:paraId="3F4EF2F1" w14:textId="77777777" w:rsidR="007A6438" w:rsidRDefault="007A6438" w:rsidP="007A6438"/>
    <w:p w14:paraId="52CAD626" w14:textId="57A12CAE" w:rsidR="007A6438" w:rsidRDefault="00991967" w:rsidP="007A6438">
      <w:pPr>
        <w:jc w:val="center"/>
      </w:pPr>
      <w:r w:rsidRPr="00991967">
        <w:rPr>
          <w:noProof/>
        </w:rPr>
        <w:lastRenderedPageBreak/>
        <w:drawing>
          <wp:inline distT="0" distB="0" distL="0" distR="0" wp14:anchorId="5D3BE65A" wp14:editId="6946FD68">
            <wp:extent cx="4057650" cy="3815564"/>
            <wp:effectExtent l="0" t="0" r="0" b="0"/>
            <wp:docPr id="5" name="Picture 4">
              <a:extLst xmlns:a="http://schemas.openxmlformats.org/drawingml/2006/main">
                <a:ext uri="{FF2B5EF4-FFF2-40B4-BE49-F238E27FC236}">
                  <a16:creationId xmlns:a16="http://schemas.microsoft.com/office/drawing/2014/main" id="{F7BFB765-187D-48F7-9B69-4C6E3F2AB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7BFB765-187D-48F7-9B69-4C6E3F2ABC24}"/>
                        </a:ext>
                      </a:extLst>
                    </pic:cNvPr>
                    <pic:cNvPicPr>
                      <a:picLocks noChangeAspect="1"/>
                    </pic:cNvPicPr>
                  </pic:nvPicPr>
                  <pic:blipFill>
                    <a:blip r:embed="rId18"/>
                    <a:stretch>
                      <a:fillRect/>
                    </a:stretch>
                  </pic:blipFill>
                  <pic:spPr>
                    <a:xfrm>
                      <a:off x="0" y="0"/>
                      <a:ext cx="4063233" cy="3820814"/>
                    </a:xfrm>
                    <a:prstGeom prst="rect">
                      <a:avLst/>
                    </a:prstGeom>
                  </pic:spPr>
                </pic:pic>
              </a:graphicData>
            </a:graphic>
          </wp:inline>
        </w:drawing>
      </w:r>
    </w:p>
    <w:p w14:paraId="4A865E66" w14:textId="77777777" w:rsidR="007A6438" w:rsidRDefault="007A6438" w:rsidP="007A6438">
      <w:pPr>
        <w:pStyle w:val="TF"/>
      </w:pPr>
      <w:r>
        <w:t>Figure 1: NS-value usage in CA (for US and Canada)</w:t>
      </w:r>
    </w:p>
    <w:p w14:paraId="29741F2C" w14:textId="04E02D65" w:rsidR="002F1A34" w:rsidRDefault="002F1A34" w:rsidP="001F7584">
      <w:pPr>
        <w:rPr>
          <w:noProof/>
        </w:rPr>
      </w:pPr>
      <w:r>
        <w:rPr>
          <w:noProof/>
        </w:rPr>
        <w:t xml:space="preserve">However, we would note that this is not a real problem due to several factors: </w:t>
      </w:r>
    </w:p>
    <w:p w14:paraId="235557E8" w14:textId="6E691EBB" w:rsidR="002F1A34" w:rsidRDefault="002F1A34" w:rsidP="002F1A34">
      <w:pPr>
        <w:pStyle w:val="ListParagraph"/>
        <w:numPr>
          <w:ilvl w:val="0"/>
          <w:numId w:val="14"/>
        </w:numPr>
        <w:rPr>
          <w:noProof/>
        </w:rPr>
      </w:pPr>
      <w:r>
        <w:rPr>
          <w:noProof/>
        </w:rPr>
        <w:t>NS_55/NS_57 do not specify any "real" A-MPR requirements: All they do is refer to NS_01 requirements</w:t>
      </w:r>
      <w:r w:rsidR="007A6438">
        <w:rPr>
          <w:noProof/>
        </w:rPr>
        <w:t>. The NS_55 was only meant to be used in IDLE/INACTIVE mode, i.e. to prevent UEs from camping on the extended n77 spectrum.</w:t>
      </w:r>
    </w:p>
    <w:p w14:paraId="50FD54AA" w14:textId="54E92268" w:rsidR="002F1A34" w:rsidRDefault="002F1A34" w:rsidP="002F1A34">
      <w:pPr>
        <w:pStyle w:val="ListParagraph"/>
        <w:numPr>
          <w:ilvl w:val="0"/>
          <w:numId w:val="14"/>
        </w:numPr>
        <w:rPr>
          <w:noProof/>
        </w:rPr>
      </w:pPr>
      <w:r>
        <w:t>SCells are deactivated in HO by default in Rel-15 but can be kept activated starting from Rel-16 onwards. But even when they are activated, normally nothing is transmitted over SCell during the handover procedure (i.e. any impacts to UL would only occur after the handover).</w:t>
      </w:r>
    </w:p>
    <w:p w14:paraId="5903E01A" w14:textId="68E3E8A2" w:rsidR="007A6438" w:rsidRDefault="007A6438" w:rsidP="007A6438">
      <w:pPr>
        <w:pStyle w:val="ListParagraph"/>
        <w:numPr>
          <w:ilvl w:val="0"/>
          <w:numId w:val="14"/>
        </w:numPr>
        <w:rPr>
          <w:noProof/>
        </w:rPr>
      </w:pPr>
      <w:r>
        <w:rPr>
          <w:noProof/>
        </w:rPr>
        <w:t>RAN2 has a general principle wherein HO command contents of target cell configuration should be same as the target cell SIB1 contents (where applicable), which is to allow UE to read SIB1 at any point before, during or after handover (i.e. up to UE implementation what SIB1 is read). This avoids the SIB1 reading from overwriting any parameter network might provide via dedicated signalling, which could create unpredictable UE behaviour. However, in terms of the NS-value, this only applies for PCell (as UE doesn't read SCell SIBs), and even if HO command would provide NS_01 while the target cell broadcasts NS_55/NS_57, the UE behaviour would still be defined: UE would follow NS_01 A-MPR since NS_55/NS_57 mean the same A-MPR as with NS_01 signalled.</w:t>
      </w:r>
    </w:p>
    <w:p w14:paraId="0A6074C2" w14:textId="6F8E6AFF" w:rsidR="007A6438" w:rsidRDefault="007A6438" w:rsidP="007A6438">
      <w:pPr>
        <w:pStyle w:val="ListParagraph"/>
        <w:numPr>
          <w:ilvl w:val="0"/>
          <w:numId w:val="14"/>
        </w:numPr>
        <w:rPr>
          <w:noProof/>
        </w:rPr>
      </w:pPr>
      <w:r>
        <w:rPr>
          <w:noProof/>
        </w:rPr>
        <w:t xml:space="preserve">NS_01 is defined as </w:t>
      </w:r>
      <w:r>
        <w:rPr>
          <w:b/>
          <w:bCs/>
          <w:noProof/>
        </w:rPr>
        <w:t>absence</w:t>
      </w:r>
      <w:r>
        <w:rPr>
          <w:noProof/>
        </w:rPr>
        <w:t xml:space="preserve"> of signalled NS_value, i.e. network signals no NS-value. This makes it more signalling efficient than signalling NS_55/NS_57 in the HO command.</w:t>
      </w:r>
    </w:p>
    <w:p w14:paraId="1A6F9D98" w14:textId="6E89CE82" w:rsidR="007A6438" w:rsidRDefault="007A6438" w:rsidP="001F7584">
      <w:pPr>
        <w:rPr>
          <w:noProof/>
        </w:rPr>
      </w:pPr>
      <w:r w:rsidRPr="007A6438">
        <w:rPr>
          <w:b/>
          <w:bCs/>
          <w:noProof/>
        </w:rPr>
        <w:t>Observation 3:</w:t>
      </w:r>
      <w:r>
        <w:rPr>
          <w:noProof/>
        </w:rPr>
        <w:t xml:space="preserve"> The A-MPR requirements defined by NS_55/NS_57 are the same as with NS_01.</w:t>
      </w:r>
    </w:p>
    <w:p w14:paraId="37C4322F" w14:textId="78360EF3" w:rsidR="007A6438" w:rsidRDefault="007A6438" w:rsidP="001F7584">
      <w:pPr>
        <w:rPr>
          <w:noProof/>
        </w:rPr>
      </w:pPr>
      <w:r w:rsidRPr="007A6438">
        <w:rPr>
          <w:b/>
          <w:bCs/>
          <w:noProof/>
        </w:rPr>
        <w:t>Observation 4:</w:t>
      </w:r>
      <w:r>
        <w:rPr>
          <w:noProof/>
        </w:rPr>
        <w:t xml:space="preserve"> Using NS_01 in signalling (i.e. no NS-value is signalled) has smaller overhead than using NS_55/NS_57 (since those require signalling).</w:t>
      </w:r>
    </w:p>
    <w:p w14:paraId="365CB0C4" w14:textId="74B306FE" w:rsidR="007A6438" w:rsidRDefault="007A6438" w:rsidP="001F7584">
      <w:pPr>
        <w:rPr>
          <w:noProof/>
        </w:rPr>
      </w:pPr>
      <w:r>
        <w:rPr>
          <w:noProof/>
        </w:rPr>
        <w:t>Due to all of the above, we think Alt.1 from Figure 1 should be selected: Network always uses NS_01 for band n77 in RRC_CONNECTED handovers, even if the cell would broadcast NS_55/NS_57 for IDLE/INACTIVE mode camping reasons. This both minimizes the signalling overhead and retains the RAN2 principle of using the same NS-value for all serving cells in intra-band cases</w:t>
      </w:r>
      <w:r w:rsidR="00517BBE">
        <w:rPr>
          <w:noProof/>
        </w:rPr>
        <w:t>.</w:t>
      </w:r>
    </w:p>
    <w:p w14:paraId="300450C8" w14:textId="00272EB9" w:rsidR="00851ED5" w:rsidRDefault="00DC4EB3" w:rsidP="009339CB">
      <w:r w:rsidRPr="00DC4EB3">
        <w:rPr>
          <w:b/>
          <w:bCs/>
        </w:rPr>
        <w:t xml:space="preserve">Proposal </w:t>
      </w:r>
      <w:r w:rsidR="00851ED5">
        <w:rPr>
          <w:b/>
          <w:bCs/>
        </w:rPr>
        <w:t>1</w:t>
      </w:r>
      <w:r w:rsidRPr="00DC4EB3">
        <w:rPr>
          <w:b/>
          <w:bCs/>
        </w:rPr>
        <w:t>:</w:t>
      </w:r>
      <w:r>
        <w:t xml:space="preserve"> </w:t>
      </w:r>
      <w:r w:rsidR="00851ED5">
        <w:t>For handovers on n77</w:t>
      </w:r>
      <w:r w:rsidR="00517BBE">
        <w:t xml:space="preserve"> </w:t>
      </w:r>
      <w:r w:rsidR="00517BBE" w:rsidRPr="00517BBE">
        <w:t>and intra-band UL CA configuration with n77</w:t>
      </w:r>
      <w:r w:rsidR="00851ED5">
        <w:t xml:space="preserve">, always use NS_01 </w:t>
      </w:r>
      <w:r w:rsidR="003B5237">
        <w:t xml:space="preserve">as the value signalled for serving </w:t>
      </w:r>
      <w:r w:rsidR="00851ED5">
        <w:t>cell</w:t>
      </w:r>
      <w:r w:rsidR="003B5237">
        <w:t>(</w:t>
      </w:r>
      <w:r w:rsidR="00851ED5">
        <w:t>s</w:t>
      </w:r>
      <w:r w:rsidR="003B5237">
        <w:t>)</w:t>
      </w:r>
      <w:r w:rsidR="00851ED5">
        <w:t xml:space="preserve">. </w:t>
      </w:r>
      <w:r w:rsidR="003B5237">
        <w:t xml:space="preserve">The </w:t>
      </w:r>
      <w:r w:rsidR="00851ED5">
        <w:t xml:space="preserve">NS_55/57 </w:t>
      </w:r>
      <w:r w:rsidR="003B5237">
        <w:t xml:space="preserve">are never used </w:t>
      </w:r>
      <w:r w:rsidR="00851ED5">
        <w:t>in CONNECTED mode.</w:t>
      </w:r>
    </w:p>
    <w:p w14:paraId="65A3B07A" w14:textId="31A98C53" w:rsidR="00851ED5" w:rsidRDefault="00851ED5" w:rsidP="009339CB">
      <w:r w:rsidRPr="00851ED5">
        <w:rPr>
          <w:b/>
          <w:bCs/>
        </w:rPr>
        <w:t>Proposal 2:</w:t>
      </w:r>
      <w:r>
        <w:t xml:space="preserve"> Task RAN2/RAN4 to capture the use of NS_01 in specifications for RAN#97.</w:t>
      </w:r>
    </w:p>
    <w:p w14:paraId="5079210C" w14:textId="6690227D" w:rsidR="003B5237" w:rsidRDefault="003B5237" w:rsidP="009339CB">
      <w:r>
        <w:lastRenderedPageBreak/>
        <w:t>Finally, we have provided a CR capturing the NS_57 in TS38.101-1 in RP-221414 according to the above, and would propose to agree to that.</w:t>
      </w:r>
    </w:p>
    <w:p w14:paraId="4287F0AC" w14:textId="6AFE76FF" w:rsidR="003B5237" w:rsidRDefault="003B5237" w:rsidP="009339CB">
      <w:r w:rsidRPr="003B5237">
        <w:rPr>
          <w:b/>
          <w:bCs/>
        </w:rPr>
        <w:t>Proposal 3:</w:t>
      </w:r>
      <w:r>
        <w:t xml:space="preserve"> Agree to the CR to TS38.101-1 according to RP-221414 to define the use of NS_57 for band n77 in Canada.</w:t>
      </w:r>
    </w:p>
    <w:p w14:paraId="69B7B8E6" w14:textId="277E040D" w:rsidR="009339CB" w:rsidRPr="006E13D1" w:rsidRDefault="008F2100" w:rsidP="009339CB">
      <w:pPr>
        <w:pStyle w:val="Heading1"/>
      </w:pPr>
      <w:r>
        <w:t>3</w:t>
      </w:r>
      <w:r w:rsidR="009339CB" w:rsidRPr="006E13D1">
        <w:tab/>
      </w:r>
      <w:r w:rsidR="009339CB">
        <w:t>Conclusion</w:t>
      </w:r>
    </w:p>
    <w:p w14:paraId="44071E18" w14:textId="77777777" w:rsidR="000D6B39" w:rsidRDefault="000D6B39" w:rsidP="003B5237">
      <w:pPr>
        <w:rPr>
          <w:noProof/>
        </w:rPr>
      </w:pPr>
      <w:r>
        <w:rPr>
          <w:noProof/>
        </w:rPr>
        <w:t>We have discussed the use of band n77 in Canada (and US), with following observations and proposals:</w:t>
      </w:r>
    </w:p>
    <w:p w14:paraId="20A20BEA" w14:textId="601A4FB7" w:rsidR="003B5237" w:rsidRDefault="003B5237" w:rsidP="003B5237">
      <w:pPr>
        <w:rPr>
          <w:noProof/>
        </w:rPr>
      </w:pPr>
      <w:r w:rsidRPr="001F7584">
        <w:rPr>
          <w:b/>
          <w:bCs/>
          <w:noProof/>
        </w:rPr>
        <w:t>Observation 1:</w:t>
      </w:r>
      <w:r>
        <w:rPr>
          <w:noProof/>
        </w:rPr>
        <w:t xml:space="preserve"> To specify band n77 extension in Canada, both RAN2 and RAN4 CRs need to be agreed.</w:t>
      </w:r>
    </w:p>
    <w:p w14:paraId="03AFDDCA" w14:textId="77777777" w:rsidR="003B5237" w:rsidRDefault="003B5237" w:rsidP="003B5237">
      <w:pPr>
        <w:rPr>
          <w:noProof/>
        </w:rPr>
      </w:pPr>
      <w:r w:rsidRPr="002F1A34">
        <w:rPr>
          <w:b/>
          <w:bCs/>
          <w:noProof/>
        </w:rPr>
        <w:t>Observation 2:</w:t>
      </w:r>
      <w:r>
        <w:rPr>
          <w:noProof/>
        </w:rPr>
        <w:t xml:space="preserve"> The use of different NS-values to prevent camping on certain parts of n77 requires discussion on HO case with CA.</w:t>
      </w:r>
    </w:p>
    <w:p w14:paraId="0CDC3054" w14:textId="77777777" w:rsidR="003B5237" w:rsidRDefault="003B5237" w:rsidP="003B5237">
      <w:pPr>
        <w:rPr>
          <w:noProof/>
        </w:rPr>
      </w:pPr>
      <w:r w:rsidRPr="007A6438">
        <w:rPr>
          <w:b/>
          <w:bCs/>
          <w:noProof/>
        </w:rPr>
        <w:t>Observation 3:</w:t>
      </w:r>
      <w:r>
        <w:rPr>
          <w:noProof/>
        </w:rPr>
        <w:t xml:space="preserve"> The A-MPR requirements defined by NS_55/NS_57 are the same as with NS_01.</w:t>
      </w:r>
    </w:p>
    <w:p w14:paraId="7636C4DA" w14:textId="77777777" w:rsidR="003B5237" w:rsidRDefault="003B5237" w:rsidP="003B5237">
      <w:pPr>
        <w:rPr>
          <w:noProof/>
        </w:rPr>
      </w:pPr>
      <w:r w:rsidRPr="007A6438">
        <w:rPr>
          <w:b/>
          <w:bCs/>
          <w:noProof/>
        </w:rPr>
        <w:t>Observation 4:</w:t>
      </w:r>
      <w:r>
        <w:rPr>
          <w:noProof/>
        </w:rPr>
        <w:t xml:space="preserve"> Using NS_01 in signalling (i.e. no NS-value is signalled) has smaller overhead than using NS_55/NS_57 (since those require signalling).</w:t>
      </w:r>
    </w:p>
    <w:p w14:paraId="2EB811C2" w14:textId="77777777" w:rsidR="00517BBE" w:rsidRDefault="00517BBE" w:rsidP="00517BBE">
      <w:r w:rsidRPr="00DC4EB3">
        <w:rPr>
          <w:b/>
          <w:bCs/>
        </w:rPr>
        <w:t xml:space="preserve">Proposal </w:t>
      </w:r>
      <w:r>
        <w:rPr>
          <w:b/>
          <w:bCs/>
        </w:rPr>
        <w:t>1</w:t>
      </w:r>
      <w:r w:rsidRPr="00DC4EB3">
        <w:rPr>
          <w:b/>
          <w:bCs/>
        </w:rPr>
        <w:t>:</w:t>
      </w:r>
      <w:r>
        <w:t xml:space="preserve"> For handovers on n77 </w:t>
      </w:r>
      <w:r w:rsidRPr="00517BBE">
        <w:t>and intra-band UL CA configuration with n77</w:t>
      </w:r>
      <w:r>
        <w:t>, always use NS_01 as the value signalled for serving cell(s). The NS_55/57 are never used in CONNECTED mode.</w:t>
      </w:r>
    </w:p>
    <w:p w14:paraId="6294F090" w14:textId="77777777" w:rsidR="003B5237" w:rsidRDefault="003B5237" w:rsidP="003B5237">
      <w:r w:rsidRPr="00851ED5">
        <w:rPr>
          <w:b/>
          <w:bCs/>
        </w:rPr>
        <w:t>Proposal 2:</w:t>
      </w:r>
      <w:r>
        <w:t xml:space="preserve"> Task RAN2/RAN4 to capture the use of NS_01 in specifications for RAN#97.</w:t>
      </w:r>
    </w:p>
    <w:p w14:paraId="357B7BAB" w14:textId="3E811586" w:rsidR="00B202B5" w:rsidRDefault="003B5237" w:rsidP="003B5237">
      <w:r w:rsidRPr="003B5237">
        <w:rPr>
          <w:b/>
          <w:bCs/>
        </w:rPr>
        <w:t>Proposal 3:</w:t>
      </w:r>
      <w:r>
        <w:t xml:space="preserve"> Agree to the CR to TS38.101-1 according to RP-221414 to define the use of NS_57 for band n77 in Canada.</w:t>
      </w:r>
    </w:p>
    <w:p w14:paraId="79239AD4" w14:textId="77777777" w:rsidR="003B5237" w:rsidRPr="003B5237" w:rsidRDefault="003B5237" w:rsidP="003B5237"/>
    <w:p w14:paraId="07E2E408" w14:textId="5D442F7A" w:rsidR="00896860" w:rsidRPr="00896860" w:rsidRDefault="00896860" w:rsidP="00896860"/>
    <w:sectPr w:rsidR="00896860" w:rsidRPr="008968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936E4" w14:textId="77777777" w:rsidR="00A51ACB" w:rsidRDefault="00A51ACB">
      <w:r>
        <w:separator/>
      </w:r>
    </w:p>
  </w:endnote>
  <w:endnote w:type="continuationSeparator" w:id="0">
    <w:p w14:paraId="60328C3D" w14:textId="77777777" w:rsidR="00A51ACB" w:rsidRDefault="00A51ACB">
      <w:r>
        <w:continuationSeparator/>
      </w:r>
    </w:p>
  </w:endnote>
  <w:endnote w:type="continuationNotice" w:id="1">
    <w:p w14:paraId="04A16E77" w14:textId="77777777" w:rsidR="00A51ACB" w:rsidRDefault="00A51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842E4" w14:textId="77777777" w:rsidR="00A51ACB" w:rsidRDefault="00A51ACB">
      <w:r>
        <w:separator/>
      </w:r>
    </w:p>
  </w:footnote>
  <w:footnote w:type="continuationSeparator" w:id="0">
    <w:p w14:paraId="24DE47C6" w14:textId="77777777" w:rsidR="00A51ACB" w:rsidRDefault="00A51ACB">
      <w:r>
        <w:continuationSeparator/>
      </w:r>
    </w:p>
  </w:footnote>
  <w:footnote w:type="continuationNotice" w:id="1">
    <w:p w14:paraId="4E6291B7" w14:textId="77777777" w:rsidR="00A51ACB" w:rsidRDefault="00A51A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462C"/>
    <w:multiLevelType w:val="hybridMultilevel"/>
    <w:tmpl w:val="B4B034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D230ED2"/>
    <w:multiLevelType w:val="hybridMultilevel"/>
    <w:tmpl w:val="5E70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152486"/>
    <w:multiLevelType w:val="hybridMultilevel"/>
    <w:tmpl w:val="D8282F36"/>
    <w:lvl w:ilvl="0" w:tplc="737E4AAA">
      <w:start w:val="1"/>
      <w:numFmt w:val="bullet"/>
      <w:lvlText w:val="•"/>
      <w:lvlJc w:val="left"/>
      <w:pPr>
        <w:tabs>
          <w:tab w:val="num" w:pos="720"/>
        </w:tabs>
        <w:ind w:left="720" w:hanging="360"/>
      </w:pPr>
      <w:rPr>
        <w:rFonts w:ascii="Arial" w:hAnsi="Arial" w:hint="default"/>
      </w:rPr>
    </w:lvl>
    <w:lvl w:ilvl="1" w:tplc="C1849670" w:tentative="1">
      <w:start w:val="1"/>
      <w:numFmt w:val="bullet"/>
      <w:lvlText w:val="•"/>
      <w:lvlJc w:val="left"/>
      <w:pPr>
        <w:tabs>
          <w:tab w:val="num" w:pos="1440"/>
        </w:tabs>
        <w:ind w:left="1440" w:hanging="360"/>
      </w:pPr>
      <w:rPr>
        <w:rFonts w:ascii="Arial" w:hAnsi="Arial" w:hint="default"/>
      </w:rPr>
    </w:lvl>
    <w:lvl w:ilvl="2" w:tplc="CAB65842" w:tentative="1">
      <w:start w:val="1"/>
      <w:numFmt w:val="bullet"/>
      <w:lvlText w:val="•"/>
      <w:lvlJc w:val="left"/>
      <w:pPr>
        <w:tabs>
          <w:tab w:val="num" w:pos="2160"/>
        </w:tabs>
        <w:ind w:left="2160" w:hanging="360"/>
      </w:pPr>
      <w:rPr>
        <w:rFonts w:ascii="Arial" w:hAnsi="Arial" w:hint="default"/>
      </w:rPr>
    </w:lvl>
    <w:lvl w:ilvl="3" w:tplc="750E08D6" w:tentative="1">
      <w:start w:val="1"/>
      <w:numFmt w:val="bullet"/>
      <w:lvlText w:val="•"/>
      <w:lvlJc w:val="left"/>
      <w:pPr>
        <w:tabs>
          <w:tab w:val="num" w:pos="2880"/>
        </w:tabs>
        <w:ind w:left="2880" w:hanging="360"/>
      </w:pPr>
      <w:rPr>
        <w:rFonts w:ascii="Arial" w:hAnsi="Arial" w:hint="default"/>
      </w:rPr>
    </w:lvl>
    <w:lvl w:ilvl="4" w:tplc="7904F664" w:tentative="1">
      <w:start w:val="1"/>
      <w:numFmt w:val="bullet"/>
      <w:lvlText w:val="•"/>
      <w:lvlJc w:val="left"/>
      <w:pPr>
        <w:tabs>
          <w:tab w:val="num" w:pos="3600"/>
        </w:tabs>
        <w:ind w:left="3600" w:hanging="360"/>
      </w:pPr>
      <w:rPr>
        <w:rFonts w:ascii="Arial" w:hAnsi="Arial" w:hint="default"/>
      </w:rPr>
    </w:lvl>
    <w:lvl w:ilvl="5" w:tplc="1C044640" w:tentative="1">
      <w:start w:val="1"/>
      <w:numFmt w:val="bullet"/>
      <w:lvlText w:val="•"/>
      <w:lvlJc w:val="left"/>
      <w:pPr>
        <w:tabs>
          <w:tab w:val="num" w:pos="4320"/>
        </w:tabs>
        <w:ind w:left="4320" w:hanging="360"/>
      </w:pPr>
      <w:rPr>
        <w:rFonts w:ascii="Arial" w:hAnsi="Arial" w:hint="default"/>
      </w:rPr>
    </w:lvl>
    <w:lvl w:ilvl="6" w:tplc="543E5612" w:tentative="1">
      <w:start w:val="1"/>
      <w:numFmt w:val="bullet"/>
      <w:lvlText w:val="•"/>
      <w:lvlJc w:val="left"/>
      <w:pPr>
        <w:tabs>
          <w:tab w:val="num" w:pos="5040"/>
        </w:tabs>
        <w:ind w:left="5040" w:hanging="360"/>
      </w:pPr>
      <w:rPr>
        <w:rFonts w:ascii="Arial" w:hAnsi="Arial" w:hint="default"/>
      </w:rPr>
    </w:lvl>
    <w:lvl w:ilvl="7" w:tplc="575268E0" w:tentative="1">
      <w:start w:val="1"/>
      <w:numFmt w:val="bullet"/>
      <w:lvlText w:val="•"/>
      <w:lvlJc w:val="left"/>
      <w:pPr>
        <w:tabs>
          <w:tab w:val="num" w:pos="5760"/>
        </w:tabs>
        <w:ind w:left="5760" w:hanging="360"/>
      </w:pPr>
      <w:rPr>
        <w:rFonts w:ascii="Arial" w:hAnsi="Arial" w:hint="default"/>
      </w:rPr>
    </w:lvl>
    <w:lvl w:ilvl="8" w:tplc="CD5CCB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7D0954"/>
    <w:multiLevelType w:val="hybridMultilevel"/>
    <w:tmpl w:val="DCE4CB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8B5D6A"/>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9"/>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82"/>
    <w:rsid w:val="000006BB"/>
    <w:rsid w:val="00002C48"/>
    <w:rsid w:val="0000723F"/>
    <w:rsid w:val="00013164"/>
    <w:rsid w:val="00013EC5"/>
    <w:rsid w:val="00016557"/>
    <w:rsid w:val="0002147F"/>
    <w:rsid w:val="00023C40"/>
    <w:rsid w:val="00024C88"/>
    <w:rsid w:val="00026C49"/>
    <w:rsid w:val="00033397"/>
    <w:rsid w:val="00040095"/>
    <w:rsid w:val="000418DD"/>
    <w:rsid w:val="00044C71"/>
    <w:rsid w:val="00055401"/>
    <w:rsid w:val="00063136"/>
    <w:rsid w:val="00063947"/>
    <w:rsid w:val="00065268"/>
    <w:rsid w:val="0007073F"/>
    <w:rsid w:val="00073C9C"/>
    <w:rsid w:val="00075B10"/>
    <w:rsid w:val="00076412"/>
    <w:rsid w:val="00080512"/>
    <w:rsid w:val="00081B96"/>
    <w:rsid w:val="0008210F"/>
    <w:rsid w:val="00090468"/>
    <w:rsid w:val="00090FA2"/>
    <w:rsid w:val="000913B0"/>
    <w:rsid w:val="00094568"/>
    <w:rsid w:val="000A0EB9"/>
    <w:rsid w:val="000A1B48"/>
    <w:rsid w:val="000B017F"/>
    <w:rsid w:val="000B3FD7"/>
    <w:rsid w:val="000B7BCF"/>
    <w:rsid w:val="000C522B"/>
    <w:rsid w:val="000C6511"/>
    <w:rsid w:val="000D1A67"/>
    <w:rsid w:val="000D58AB"/>
    <w:rsid w:val="000D6B39"/>
    <w:rsid w:val="000D781F"/>
    <w:rsid w:val="000E27AC"/>
    <w:rsid w:val="0010081B"/>
    <w:rsid w:val="00100E00"/>
    <w:rsid w:val="00101982"/>
    <w:rsid w:val="00101CD5"/>
    <w:rsid w:val="001039B8"/>
    <w:rsid w:val="00112CAB"/>
    <w:rsid w:val="00112F1A"/>
    <w:rsid w:val="00121E72"/>
    <w:rsid w:val="00121F79"/>
    <w:rsid w:val="00131549"/>
    <w:rsid w:val="001340C4"/>
    <w:rsid w:val="0014140D"/>
    <w:rsid w:val="0014367F"/>
    <w:rsid w:val="001447A8"/>
    <w:rsid w:val="00145075"/>
    <w:rsid w:val="001516A7"/>
    <w:rsid w:val="00152AAF"/>
    <w:rsid w:val="00153930"/>
    <w:rsid w:val="0015426D"/>
    <w:rsid w:val="00162B8D"/>
    <w:rsid w:val="00164AED"/>
    <w:rsid w:val="0016542F"/>
    <w:rsid w:val="001741A0"/>
    <w:rsid w:val="00174F52"/>
    <w:rsid w:val="00175FA0"/>
    <w:rsid w:val="00187E95"/>
    <w:rsid w:val="0019385C"/>
    <w:rsid w:val="00194CD0"/>
    <w:rsid w:val="001A415B"/>
    <w:rsid w:val="001A5743"/>
    <w:rsid w:val="001B003A"/>
    <w:rsid w:val="001B2550"/>
    <w:rsid w:val="001B25A6"/>
    <w:rsid w:val="001B49C9"/>
    <w:rsid w:val="001B4AB8"/>
    <w:rsid w:val="001B76D1"/>
    <w:rsid w:val="001C1BE0"/>
    <w:rsid w:val="001C23F4"/>
    <w:rsid w:val="001C25FD"/>
    <w:rsid w:val="001C4F79"/>
    <w:rsid w:val="001C55E0"/>
    <w:rsid w:val="001D4CA2"/>
    <w:rsid w:val="001E3465"/>
    <w:rsid w:val="001F168B"/>
    <w:rsid w:val="001F5136"/>
    <w:rsid w:val="001F7584"/>
    <w:rsid w:val="001F7831"/>
    <w:rsid w:val="00204045"/>
    <w:rsid w:val="00206C96"/>
    <w:rsid w:val="0020712B"/>
    <w:rsid w:val="00213A10"/>
    <w:rsid w:val="00221D97"/>
    <w:rsid w:val="0022281E"/>
    <w:rsid w:val="00222F67"/>
    <w:rsid w:val="00223DE0"/>
    <w:rsid w:val="0022606D"/>
    <w:rsid w:val="002260DB"/>
    <w:rsid w:val="00231728"/>
    <w:rsid w:val="0023222F"/>
    <w:rsid w:val="00233632"/>
    <w:rsid w:val="002362BF"/>
    <w:rsid w:val="00242910"/>
    <w:rsid w:val="00244A05"/>
    <w:rsid w:val="00244A65"/>
    <w:rsid w:val="002469DE"/>
    <w:rsid w:val="00250404"/>
    <w:rsid w:val="0025222C"/>
    <w:rsid w:val="00256B74"/>
    <w:rsid w:val="00256D1C"/>
    <w:rsid w:val="002610D8"/>
    <w:rsid w:val="00264CE6"/>
    <w:rsid w:val="00264F0B"/>
    <w:rsid w:val="0026570B"/>
    <w:rsid w:val="00272671"/>
    <w:rsid w:val="002747EC"/>
    <w:rsid w:val="0028207F"/>
    <w:rsid w:val="002855BF"/>
    <w:rsid w:val="00290A9D"/>
    <w:rsid w:val="00294844"/>
    <w:rsid w:val="00294AEB"/>
    <w:rsid w:val="00295492"/>
    <w:rsid w:val="002A28B0"/>
    <w:rsid w:val="002B2988"/>
    <w:rsid w:val="002B61B5"/>
    <w:rsid w:val="002C2043"/>
    <w:rsid w:val="002C38D8"/>
    <w:rsid w:val="002D1EC1"/>
    <w:rsid w:val="002D42E9"/>
    <w:rsid w:val="002E2390"/>
    <w:rsid w:val="002F0D22"/>
    <w:rsid w:val="002F1A34"/>
    <w:rsid w:val="003000B2"/>
    <w:rsid w:val="00303A25"/>
    <w:rsid w:val="00303F2F"/>
    <w:rsid w:val="00311B17"/>
    <w:rsid w:val="003172DC"/>
    <w:rsid w:val="00323466"/>
    <w:rsid w:val="00325AE3"/>
    <w:rsid w:val="00326069"/>
    <w:rsid w:val="00334EC0"/>
    <w:rsid w:val="00336243"/>
    <w:rsid w:val="00337B54"/>
    <w:rsid w:val="003405B6"/>
    <w:rsid w:val="0035462D"/>
    <w:rsid w:val="003605CF"/>
    <w:rsid w:val="0036216C"/>
    <w:rsid w:val="0036459E"/>
    <w:rsid w:val="00364B41"/>
    <w:rsid w:val="00364BAB"/>
    <w:rsid w:val="00367A6C"/>
    <w:rsid w:val="0037094A"/>
    <w:rsid w:val="00372CF0"/>
    <w:rsid w:val="00374D57"/>
    <w:rsid w:val="00383096"/>
    <w:rsid w:val="003847D7"/>
    <w:rsid w:val="00384893"/>
    <w:rsid w:val="00384D74"/>
    <w:rsid w:val="003905AA"/>
    <w:rsid w:val="00391CE8"/>
    <w:rsid w:val="0039346C"/>
    <w:rsid w:val="003A41EF"/>
    <w:rsid w:val="003B01E2"/>
    <w:rsid w:val="003B2ED1"/>
    <w:rsid w:val="003B40AD"/>
    <w:rsid w:val="003B4578"/>
    <w:rsid w:val="003B4AD0"/>
    <w:rsid w:val="003B5237"/>
    <w:rsid w:val="003C4E37"/>
    <w:rsid w:val="003C6F3F"/>
    <w:rsid w:val="003E16BE"/>
    <w:rsid w:val="003E474D"/>
    <w:rsid w:val="003F2D6E"/>
    <w:rsid w:val="003F3F85"/>
    <w:rsid w:val="003F4E28"/>
    <w:rsid w:val="003F7709"/>
    <w:rsid w:val="003F7ABF"/>
    <w:rsid w:val="004006E8"/>
    <w:rsid w:val="00401855"/>
    <w:rsid w:val="00411490"/>
    <w:rsid w:val="004205C7"/>
    <w:rsid w:val="00423337"/>
    <w:rsid w:val="00430D20"/>
    <w:rsid w:val="00432042"/>
    <w:rsid w:val="00437F12"/>
    <w:rsid w:val="004444E4"/>
    <w:rsid w:val="0044486B"/>
    <w:rsid w:val="00446C3A"/>
    <w:rsid w:val="00447B5D"/>
    <w:rsid w:val="004509D6"/>
    <w:rsid w:val="00452518"/>
    <w:rsid w:val="00454A53"/>
    <w:rsid w:val="0045540F"/>
    <w:rsid w:val="00462711"/>
    <w:rsid w:val="00464137"/>
    <w:rsid w:val="00465587"/>
    <w:rsid w:val="0046593B"/>
    <w:rsid w:val="00477455"/>
    <w:rsid w:val="004925D2"/>
    <w:rsid w:val="004A1F7B"/>
    <w:rsid w:val="004A6C57"/>
    <w:rsid w:val="004A7213"/>
    <w:rsid w:val="004B6437"/>
    <w:rsid w:val="004B6653"/>
    <w:rsid w:val="004B7A37"/>
    <w:rsid w:val="004C195F"/>
    <w:rsid w:val="004C1B62"/>
    <w:rsid w:val="004C44D2"/>
    <w:rsid w:val="004D0412"/>
    <w:rsid w:val="004D0725"/>
    <w:rsid w:val="004D3578"/>
    <w:rsid w:val="004D380D"/>
    <w:rsid w:val="004D74CD"/>
    <w:rsid w:val="004E1CF1"/>
    <w:rsid w:val="004E213A"/>
    <w:rsid w:val="004F4540"/>
    <w:rsid w:val="004F557B"/>
    <w:rsid w:val="004F6643"/>
    <w:rsid w:val="004F73A7"/>
    <w:rsid w:val="004F74AF"/>
    <w:rsid w:val="005025E8"/>
    <w:rsid w:val="00503171"/>
    <w:rsid w:val="00506C28"/>
    <w:rsid w:val="005163B6"/>
    <w:rsid w:val="00517BBE"/>
    <w:rsid w:val="00534DA0"/>
    <w:rsid w:val="00542415"/>
    <w:rsid w:val="0054360E"/>
    <w:rsid w:val="00543E6C"/>
    <w:rsid w:val="00546284"/>
    <w:rsid w:val="00547344"/>
    <w:rsid w:val="00554D1C"/>
    <w:rsid w:val="00560C70"/>
    <w:rsid w:val="00564E67"/>
    <w:rsid w:val="00565087"/>
    <w:rsid w:val="0056573F"/>
    <w:rsid w:val="00565B3B"/>
    <w:rsid w:val="00571279"/>
    <w:rsid w:val="00575DE7"/>
    <w:rsid w:val="0058214E"/>
    <w:rsid w:val="00585F7D"/>
    <w:rsid w:val="00587F81"/>
    <w:rsid w:val="00594E66"/>
    <w:rsid w:val="005A19FB"/>
    <w:rsid w:val="005A3474"/>
    <w:rsid w:val="005A49C6"/>
    <w:rsid w:val="005B3528"/>
    <w:rsid w:val="005B6F0C"/>
    <w:rsid w:val="005C3E06"/>
    <w:rsid w:val="005C766E"/>
    <w:rsid w:val="005C7CD5"/>
    <w:rsid w:val="005E4945"/>
    <w:rsid w:val="005F7A60"/>
    <w:rsid w:val="00600D63"/>
    <w:rsid w:val="00600FDC"/>
    <w:rsid w:val="006063DE"/>
    <w:rsid w:val="006109E1"/>
    <w:rsid w:val="00611566"/>
    <w:rsid w:val="006123D4"/>
    <w:rsid w:val="00615D99"/>
    <w:rsid w:val="00632F5E"/>
    <w:rsid w:val="006363D2"/>
    <w:rsid w:val="006428C7"/>
    <w:rsid w:val="00646D99"/>
    <w:rsid w:val="00656910"/>
    <w:rsid w:val="006574C0"/>
    <w:rsid w:val="00671894"/>
    <w:rsid w:val="00673C2D"/>
    <w:rsid w:val="00675197"/>
    <w:rsid w:val="006751C8"/>
    <w:rsid w:val="00683773"/>
    <w:rsid w:val="00696821"/>
    <w:rsid w:val="006B51F9"/>
    <w:rsid w:val="006B6C61"/>
    <w:rsid w:val="006C13D8"/>
    <w:rsid w:val="006C3919"/>
    <w:rsid w:val="006C66D8"/>
    <w:rsid w:val="006D1E24"/>
    <w:rsid w:val="006D35DE"/>
    <w:rsid w:val="006D5133"/>
    <w:rsid w:val="006D64BA"/>
    <w:rsid w:val="006E1057"/>
    <w:rsid w:val="006E1417"/>
    <w:rsid w:val="006E46CA"/>
    <w:rsid w:val="006F58C7"/>
    <w:rsid w:val="006F6A2C"/>
    <w:rsid w:val="006F7486"/>
    <w:rsid w:val="006F7F64"/>
    <w:rsid w:val="007069DC"/>
    <w:rsid w:val="00710201"/>
    <w:rsid w:val="00714F48"/>
    <w:rsid w:val="00716E75"/>
    <w:rsid w:val="007173FE"/>
    <w:rsid w:val="0072073A"/>
    <w:rsid w:val="007213D9"/>
    <w:rsid w:val="007215F8"/>
    <w:rsid w:val="00724A56"/>
    <w:rsid w:val="0072783E"/>
    <w:rsid w:val="007279E9"/>
    <w:rsid w:val="00727DEC"/>
    <w:rsid w:val="007342B5"/>
    <w:rsid w:val="00734A5B"/>
    <w:rsid w:val="007447C9"/>
    <w:rsid w:val="00744E76"/>
    <w:rsid w:val="007465F6"/>
    <w:rsid w:val="0075283F"/>
    <w:rsid w:val="0075510D"/>
    <w:rsid w:val="00757D40"/>
    <w:rsid w:val="007612B0"/>
    <w:rsid w:val="007662B5"/>
    <w:rsid w:val="00771A1D"/>
    <w:rsid w:val="00781F0F"/>
    <w:rsid w:val="00785F9F"/>
    <w:rsid w:val="0078727C"/>
    <w:rsid w:val="007872D9"/>
    <w:rsid w:val="00787979"/>
    <w:rsid w:val="00790016"/>
    <w:rsid w:val="0079049D"/>
    <w:rsid w:val="00793DC5"/>
    <w:rsid w:val="00796823"/>
    <w:rsid w:val="007A1B34"/>
    <w:rsid w:val="007A2E55"/>
    <w:rsid w:val="007A6438"/>
    <w:rsid w:val="007A77F3"/>
    <w:rsid w:val="007B0172"/>
    <w:rsid w:val="007B18D8"/>
    <w:rsid w:val="007C095F"/>
    <w:rsid w:val="007C264E"/>
    <w:rsid w:val="007C2DD0"/>
    <w:rsid w:val="007C56A1"/>
    <w:rsid w:val="007C5840"/>
    <w:rsid w:val="007D4101"/>
    <w:rsid w:val="007D4248"/>
    <w:rsid w:val="007D449D"/>
    <w:rsid w:val="007E0AFA"/>
    <w:rsid w:val="007E3FCA"/>
    <w:rsid w:val="007E6E11"/>
    <w:rsid w:val="007F2E08"/>
    <w:rsid w:val="007F481B"/>
    <w:rsid w:val="007F5190"/>
    <w:rsid w:val="008024FA"/>
    <w:rsid w:val="008028A4"/>
    <w:rsid w:val="00810AA9"/>
    <w:rsid w:val="00813245"/>
    <w:rsid w:val="00814819"/>
    <w:rsid w:val="0082058C"/>
    <w:rsid w:val="00823E2D"/>
    <w:rsid w:val="008266AF"/>
    <w:rsid w:val="00833053"/>
    <w:rsid w:val="00834600"/>
    <w:rsid w:val="0083636F"/>
    <w:rsid w:val="00840DE0"/>
    <w:rsid w:val="008431D7"/>
    <w:rsid w:val="00844175"/>
    <w:rsid w:val="00846CBF"/>
    <w:rsid w:val="00847CD0"/>
    <w:rsid w:val="00851ED5"/>
    <w:rsid w:val="00856E35"/>
    <w:rsid w:val="008607A8"/>
    <w:rsid w:val="00862179"/>
    <w:rsid w:val="0086252C"/>
    <w:rsid w:val="00862B48"/>
    <w:rsid w:val="0086354A"/>
    <w:rsid w:val="008635F8"/>
    <w:rsid w:val="00863CE2"/>
    <w:rsid w:val="00871B21"/>
    <w:rsid w:val="00875174"/>
    <w:rsid w:val="008768CA"/>
    <w:rsid w:val="008771EB"/>
    <w:rsid w:val="008774C9"/>
    <w:rsid w:val="00877EF9"/>
    <w:rsid w:val="00880559"/>
    <w:rsid w:val="00880D75"/>
    <w:rsid w:val="00894015"/>
    <w:rsid w:val="00896860"/>
    <w:rsid w:val="008A1CC3"/>
    <w:rsid w:val="008A7D3B"/>
    <w:rsid w:val="008B23A6"/>
    <w:rsid w:val="008B5306"/>
    <w:rsid w:val="008C0F6A"/>
    <w:rsid w:val="008C1655"/>
    <w:rsid w:val="008C2E2A"/>
    <w:rsid w:val="008C3057"/>
    <w:rsid w:val="008D2E4D"/>
    <w:rsid w:val="008E1E61"/>
    <w:rsid w:val="008E42FD"/>
    <w:rsid w:val="008E4F80"/>
    <w:rsid w:val="008E57B2"/>
    <w:rsid w:val="008F2100"/>
    <w:rsid w:val="008F396F"/>
    <w:rsid w:val="008F39E2"/>
    <w:rsid w:val="008F3DCD"/>
    <w:rsid w:val="008F5B05"/>
    <w:rsid w:val="008F5FE9"/>
    <w:rsid w:val="009012E7"/>
    <w:rsid w:val="0090271F"/>
    <w:rsid w:val="00902DB9"/>
    <w:rsid w:val="0090466A"/>
    <w:rsid w:val="00904DA2"/>
    <w:rsid w:val="00905EF5"/>
    <w:rsid w:val="00912311"/>
    <w:rsid w:val="00913515"/>
    <w:rsid w:val="00923655"/>
    <w:rsid w:val="009249DD"/>
    <w:rsid w:val="009259A0"/>
    <w:rsid w:val="009262F5"/>
    <w:rsid w:val="009322D0"/>
    <w:rsid w:val="009339CB"/>
    <w:rsid w:val="00933A2D"/>
    <w:rsid w:val="00933A81"/>
    <w:rsid w:val="00935055"/>
    <w:rsid w:val="00936071"/>
    <w:rsid w:val="009376CD"/>
    <w:rsid w:val="00937B6A"/>
    <w:rsid w:val="00940212"/>
    <w:rsid w:val="00942EC2"/>
    <w:rsid w:val="00946345"/>
    <w:rsid w:val="00953C99"/>
    <w:rsid w:val="00956E7A"/>
    <w:rsid w:val="00961B32"/>
    <w:rsid w:val="00962509"/>
    <w:rsid w:val="009631B0"/>
    <w:rsid w:val="00967C02"/>
    <w:rsid w:val="00970084"/>
    <w:rsid w:val="009704C8"/>
    <w:rsid w:val="00970DB3"/>
    <w:rsid w:val="00972328"/>
    <w:rsid w:val="009724B1"/>
    <w:rsid w:val="009741C2"/>
    <w:rsid w:val="00974BB0"/>
    <w:rsid w:val="00974D45"/>
    <w:rsid w:val="00974F00"/>
    <w:rsid w:val="00975BCD"/>
    <w:rsid w:val="00991967"/>
    <w:rsid w:val="00992593"/>
    <w:rsid w:val="009928A9"/>
    <w:rsid w:val="00995328"/>
    <w:rsid w:val="00997863"/>
    <w:rsid w:val="00997CDD"/>
    <w:rsid w:val="009A0AF3"/>
    <w:rsid w:val="009A1A61"/>
    <w:rsid w:val="009A3218"/>
    <w:rsid w:val="009A34F1"/>
    <w:rsid w:val="009A3799"/>
    <w:rsid w:val="009B07CD"/>
    <w:rsid w:val="009B3870"/>
    <w:rsid w:val="009B5ED4"/>
    <w:rsid w:val="009B6EDB"/>
    <w:rsid w:val="009B7228"/>
    <w:rsid w:val="009C12F7"/>
    <w:rsid w:val="009C19E9"/>
    <w:rsid w:val="009C47B2"/>
    <w:rsid w:val="009C67D5"/>
    <w:rsid w:val="009D0171"/>
    <w:rsid w:val="009D168F"/>
    <w:rsid w:val="009D392B"/>
    <w:rsid w:val="009D6AE5"/>
    <w:rsid w:val="009D74A6"/>
    <w:rsid w:val="009E0E87"/>
    <w:rsid w:val="009F05ED"/>
    <w:rsid w:val="009F364A"/>
    <w:rsid w:val="009F5284"/>
    <w:rsid w:val="009F6D3B"/>
    <w:rsid w:val="00A02E4A"/>
    <w:rsid w:val="00A07B40"/>
    <w:rsid w:val="00A10F02"/>
    <w:rsid w:val="00A204CA"/>
    <w:rsid w:val="00A209D6"/>
    <w:rsid w:val="00A21A8B"/>
    <w:rsid w:val="00A22738"/>
    <w:rsid w:val="00A236BB"/>
    <w:rsid w:val="00A27D33"/>
    <w:rsid w:val="00A33B31"/>
    <w:rsid w:val="00A36F5F"/>
    <w:rsid w:val="00A430EC"/>
    <w:rsid w:val="00A45DEB"/>
    <w:rsid w:val="00A47ABF"/>
    <w:rsid w:val="00A51ACB"/>
    <w:rsid w:val="00A51E48"/>
    <w:rsid w:val="00A533B8"/>
    <w:rsid w:val="00A53724"/>
    <w:rsid w:val="00A54B2B"/>
    <w:rsid w:val="00A65E64"/>
    <w:rsid w:val="00A6768D"/>
    <w:rsid w:val="00A703B6"/>
    <w:rsid w:val="00A82346"/>
    <w:rsid w:val="00A91723"/>
    <w:rsid w:val="00A94020"/>
    <w:rsid w:val="00A9671C"/>
    <w:rsid w:val="00AA0D72"/>
    <w:rsid w:val="00AA1553"/>
    <w:rsid w:val="00AA234A"/>
    <w:rsid w:val="00AA2CDE"/>
    <w:rsid w:val="00AB4D25"/>
    <w:rsid w:val="00AC1017"/>
    <w:rsid w:val="00AC60BF"/>
    <w:rsid w:val="00AD52F3"/>
    <w:rsid w:val="00AD6292"/>
    <w:rsid w:val="00AE3480"/>
    <w:rsid w:val="00AE3DF0"/>
    <w:rsid w:val="00AE4F12"/>
    <w:rsid w:val="00B0475B"/>
    <w:rsid w:val="00B05380"/>
    <w:rsid w:val="00B05962"/>
    <w:rsid w:val="00B103EA"/>
    <w:rsid w:val="00B10666"/>
    <w:rsid w:val="00B112A1"/>
    <w:rsid w:val="00B113FA"/>
    <w:rsid w:val="00B15449"/>
    <w:rsid w:val="00B16C2F"/>
    <w:rsid w:val="00B202B5"/>
    <w:rsid w:val="00B27303"/>
    <w:rsid w:val="00B309B7"/>
    <w:rsid w:val="00B31910"/>
    <w:rsid w:val="00B457B3"/>
    <w:rsid w:val="00B47882"/>
    <w:rsid w:val="00B47FD1"/>
    <w:rsid w:val="00B502DA"/>
    <w:rsid w:val="00B50666"/>
    <w:rsid w:val="00B516BB"/>
    <w:rsid w:val="00B60F82"/>
    <w:rsid w:val="00B61563"/>
    <w:rsid w:val="00B61656"/>
    <w:rsid w:val="00B632E6"/>
    <w:rsid w:val="00B7155E"/>
    <w:rsid w:val="00B732C7"/>
    <w:rsid w:val="00B7538C"/>
    <w:rsid w:val="00B84DB2"/>
    <w:rsid w:val="00B96476"/>
    <w:rsid w:val="00B967ED"/>
    <w:rsid w:val="00B9799D"/>
    <w:rsid w:val="00BA26BB"/>
    <w:rsid w:val="00BA3B2E"/>
    <w:rsid w:val="00BA526B"/>
    <w:rsid w:val="00BB3538"/>
    <w:rsid w:val="00BB4488"/>
    <w:rsid w:val="00BB6404"/>
    <w:rsid w:val="00BC15C3"/>
    <w:rsid w:val="00BC34B5"/>
    <w:rsid w:val="00BC3555"/>
    <w:rsid w:val="00BD1B5C"/>
    <w:rsid w:val="00BD770E"/>
    <w:rsid w:val="00BE371B"/>
    <w:rsid w:val="00BE6764"/>
    <w:rsid w:val="00BF1BE4"/>
    <w:rsid w:val="00BF44B0"/>
    <w:rsid w:val="00BF691E"/>
    <w:rsid w:val="00C02014"/>
    <w:rsid w:val="00C031AA"/>
    <w:rsid w:val="00C04378"/>
    <w:rsid w:val="00C048CA"/>
    <w:rsid w:val="00C04E83"/>
    <w:rsid w:val="00C05BAB"/>
    <w:rsid w:val="00C11076"/>
    <w:rsid w:val="00C12B51"/>
    <w:rsid w:val="00C2249B"/>
    <w:rsid w:val="00C24650"/>
    <w:rsid w:val="00C25465"/>
    <w:rsid w:val="00C27A15"/>
    <w:rsid w:val="00C3119D"/>
    <w:rsid w:val="00C33079"/>
    <w:rsid w:val="00C36F18"/>
    <w:rsid w:val="00C43A60"/>
    <w:rsid w:val="00C472DE"/>
    <w:rsid w:val="00C55A12"/>
    <w:rsid w:val="00C6553E"/>
    <w:rsid w:val="00C65644"/>
    <w:rsid w:val="00C72623"/>
    <w:rsid w:val="00C75333"/>
    <w:rsid w:val="00C75BE2"/>
    <w:rsid w:val="00C83A13"/>
    <w:rsid w:val="00C86F10"/>
    <w:rsid w:val="00C87F24"/>
    <w:rsid w:val="00C9068C"/>
    <w:rsid w:val="00C92967"/>
    <w:rsid w:val="00C93BEF"/>
    <w:rsid w:val="00CA3D0C"/>
    <w:rsid w:val="00CA654B"/>
    <w:rsid w:val="00CB0C10"/>
    <w:rsid w:val="00CB72B8"/>
    <w:rsid w:val="00CC5AB6"/>
    <w:rsid w:val="00CC5C59"/>
    <w:rsid w:val="00CD0BA8"/>
    <w:rsid w:val="00CD36E4"/>
    <w:rsid w:val="00CD4C7B"/>
    <w:rsid w:val="00CD58FE"/>
    <w:rsid w:val="00CD5B7D"/>
    <w:rsid w:val="00CE2B1B"/>
    <w:rsid w:val="00CE635E"/>
    <w:rsid w:val="00CF03CC"/>
    <w:rsid w:val="00D05F03"/>
    <w:rsid w:val="00D06015"/>
    <w:rsid w:val="00D10799"/>
    <w:rsid w:val="00D12087"/>
    <w:rsid w:val="00D12852"/>
    <w:rsid w:val="00D2303B"/>
    <w:rsid w:val="00D24995"/>
    <w:rsid w:val="00D26F12"/>
    <w:rsid w:val="00D27567"/>
    <w:rsid w:val="00D27F18"/>
    <w:rsid w:val="00D30C0D"/>
    <w:rsid w:val="00D32011"/>
    <w:rsid w:val="00D32A13"/>
    <w:rsid w:val="00D33BE3"/>
    <w:rsid w:val="00D34F3A"/>
    <w:rsid w:val="00D3792D"/>
    <w:rsid w:val="00D42D9A"/>
    <w:rsid w:val="00D43B63"/>
    <w:rsid w:val="00D44FF8"/>
    <w:rsid w:val="00D50BD5"/>
    <w:rsid w:val="00D518F1"/>
    <w:rsid w:val="00D55E47"/>
    <w:rsid w:val="00D60309"/>
    <w:rsid w:val="00D62E19"/>
    <w:rsid w:val="00D67CD1"/>
    <w:rsid w:val="00D71D7B"/>
    <w:rsid w:val="00D738D6"/>
    <w:rsid w:val="00D73C58"/>
    <w:rsid w:val="00D752E4"/>
    <w:rsid w:val="00D75929"/>
    <w:rsid w:val="00D80795"/>
    <w:rsid w:val="00D84591"/>
    <w:rsid w:val="00D854BE"/>
    <w:rsid w:val="00D87E00"/>
    <w:rsid w:val="00D9134D"/>
    <w:rsid w:val="00D93CE8"/>
    <w:rsid w:val="00D96D11"/>
    <w:rsid w:val="00DA7A03"/>
    <w:rsid w:val="00DB0DB8"/>
    <w:rsid w:val="00DB1818"/>
    <w:rsid w:val="00DC10FC"/>
    <w:rsid w:val="00DC309B"/>
    <w:rsid w:val="00DC4DA2"/>
    <w:rsid w:val="00DC4EB3"/>
    <w:rsid w:val="00DC5261"/>
    <w:rsid w:val="00DE0CC3"/>
    <w:rsid w:val="00DE25D2"/>
    <w:rsid w:val="00DE329E"/>
    <w:rsid w:val="00DF0F82"/>
    <w:rsid w:val="00E07DE3"/>
    <w:rsid w:val="00E147F5"/>
    <w:rsid w:val="00E16182"/>
    <w:rsid w:val="00E27401"/>
    <w:rsid w:val="00E33853"/>
    <w:rsid w:val="00E43B92"/>
    <w:rsid w:val="00E46C08"/>
    <w:rsid w:val="00E46D65"/>
    <w:rsid w:val="00E471CF"/>
    <w:rsid w:val="00E62835"/>
    <w:rsid w:val="00E6602E"/>
    <w:rsid w:val="00E66489"/>
    <w:rsid w:val="00E67BB6"/>
    <w:rsid w:val="00E713C2"/>
    <w:rsid w:val="00E73CCD"/>
    <w:rsid w:val="00E77645"/>
    <w:rsid w:val="00E83697"/>
    <w:rsid w:val="00E859B6"/>
    <w:rsid w:val="00E90C2F"/>
    <w:rsid w:val="00EA0270"/>
    <w:rsid w:val="00EA02AA"/>
    <w:rsid w:val="00EA66C9"/>
    <w:rsid w:val="00EA6835"/>
    <w:rsid w:val="00EB0EBF"/>
    <w:rsid w:val="00EB3832"/>
    <w:rsid w:val="00EB3BCC"/>
    <w:rsid w:val="00EB3DDE"/>
    <w:rsid w:val="00EB5D32"/>
    <w:rsid w:val="00EC1E8E"/>
    <w:rsid w:val="00EC4A25"/>
    <w:rsid w:val="00ED6BE4"/>
    <w:rsid w:val="00ED6C9D"/>
    <w:rsid w:val="00ED71B1"/>
    <w:rsid w:val="00ED79FE"/>
    <w:rsid w:val="00EE1BA7"/>
    <w:rsid w:val="00EF612C"/>
    <w:rsid w:val="00F025A2"/>
    <w:rsid w:val="00F03318"/>
    <w:rsid w:val="00F036E9"/>
    <w:rsid w:val="00F03DAE"/>
    <w:rsid w:val="00F04FFB"/>
    <w:rsid w:val="00F07388"/>
    <w:rsid w:val="00F13349"/>
    <w:rsid w:val="00F2026E"/>
    <w:rsid w:val="00F2210A"/>
    <w:rsid w:val="00F23BBF"/>
    <w:rsid w:val="00F30EA4"/>
    <w:rsid w:val="00F31372"/>
    <w:rsid w:val="00F37743"/>
    <w:rsid w:val="00F37A89"/>
    <w:rsid w:val="00F47E7C"/>
    <w:rsid w:val="00F54A3D"/>
    <w:rsid w:val="00F54CB0"/>
    <w:rsid w:val="00F579CD"/>
    <w:rsid w:val="00F57F1E"/>
    <w:rsid w:val="00F61696"/>
    <w:rsid w:val="00F653B8"/>
    <w:rsid w:val="00F66584"/>
    <w:rsid w:val="00F7065C"/>
    <w:rsid w:val="00F70D57"/>
    <w:rsid w:val="00F714DE"/>
    <w:rsid w:val="00F7180D"/>
    <w:rsid w:val="00F71B89"/>
    <w:rsid w:val="00F7353C"/>
    <w:rsid w:val="00F76F8F"/>
    <w:rsid w:val="00F84F3B"/>
    <w:rsid w:val="00F87257"/>
    <w:rsid w:val="00F87512"/>
    <w:rsid w:val="00F93FF0"/>
    <w:rsid w:val="00F941DF"/>
    <w:rsid w:val="00F95628"/>
    <w:rsid w:val="00F9778B"/>
    <w:rsid w:val="00FA0286"/>
    <w:rsid w:val="00FA1266"/>
    <w:rsid w:val="00FB36FA"/>
    <w:rsid w:val="00FC1192"/>
    <w:rsid w:val="00FD16C3"/>
    <w:rsid w:val="00FD2A94"/>
    <w:rsid w:val="00FD34FA"/>
    <w:rsid w:val="00FD7062"/>
    <w:rsid w:val="00FE106D"/>
    <w:rsid w:val="00FE251B"/>
    <w:rsid w:val="00FE2ACB"/>
    <w:rsid w:val="00FE5062"/>
    <w:rsid w:val="00FE5281"/>
    <w:rsid w:val="00FE7F96"/>
    <w:rsid w:val="00FF0239"/>
    <w:rsid w:val="00FF32FA"/>
    <w:rsid w:val="00FF72C4"/>
    <w:rsid w:val="00FF78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EA3C36D-E032-4400-A59E-E631063B8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0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D34FA"/>
    <w:pPr>
      <w:spacing w:after="200"/>
    </w:pPr>
    <w:rPr>
      <w:i/>
      <w:iCs/>
      <w:color w:val="44546A" w:themeColor="text2"/>
      <w:sz w:val="18"/>
      <w:szCs w:val="18"/>
    </w:rPr>
  </w:style>
  <w:style w:type="paragraph" w:styleId="ListParagraph">
    <w:name w:val="List Paragraph"/>
    <w:basedOn w:val="Normal"/>
    <w:uiPriority w:val="34"/>
    <w:qFormat/>
    <w:rsid w:val="00BB6404"/>
    <w:pPr>
      <w:ind w:left="720"/>
      <w:contextualSpacing/>
    </w:pPr>
  </w:style>
  <w:style w:type="character" w:styleId="FollowedHyperlink">
    <w:name w:val="FollowedHyperlink"/>
    <w:basedOn w:val="DefaultParagraphFont"/>
    <w:rsid w:val="00A6768D"/>
    <w:rPr>
      <w:color w:val="954F72" w:themeColor="followedHyperlink"/>
      <w:u w:val="single"/>
    </w:rPr>
  </w:style>
  <w:style w:type="character" w:styleId="CommentReference">
    <w:name w:val="annotation reference"/>
    <w:basedOn w:val="DefaultParagraphFont"/>
    <w:rsid w:val="00547344"/>
    <w:rPr>
      <w:sz w:val="16"/>
      <w:szCs w:val="16"/>
    </w:rPr>
  </w:style>
  <w:style w:type="paragraph" w:styleId="CommentText">
    <w:name w:val="annotation text"/>
    <w:basedOn w:val="Normal"/>
    <w:link w:val="CommentTextChar"/>
    <w:rsid w:val="00547344"/>
  </w:style>
  <w:style w:type="character" w:customStyle="1" w:styleId="CommentTextChar">
    <w:name w:val="Comment Text Char"/>
    <w:basedOn w:val="DefaultParagraphFont"/>
    <w:link w:val="CommentText"/>
    <w:rsid w:val="00547344"/>
    <w:rPr>
      <w:lang w:eastAsia="en-US"/>
    </w:rPr>
  </w:style>
  <w:style w:type="paragraph" w:styleId="CommentSubject">
    <w:name w:val="annotation subject"/>
    <w:basedOn w:val="CommentText"/>
    <w:next w:val="CommentText"/>
    <w:link w:val="CommentSubjectChar"/>
    <w:rsid w:val="00547344"/>
    <w:rPr>
      <w:b/>
      <w:bCs/>
    </w:rPr>
  </w:style>
  <w:style w:type="character" w:customStyle="1" w:styleId="CommentSubjectChar">
    <w:name w:val="Comment Subject Char"/>
    <w:basedOn w:val="CommentTextChar"/>
    <w:link w:val="CommentSubject"/>
    <w:rsid w:val="00547344"/>
    <w:rPr>
      <w:b/>
      <w:bCs/>
      <w:lang w:eastAsia="en-US"/>
    </w:rPr>
  </w:style>
  <w:style w:type="paragraph" w:styleId="Revision">
    <w:name w:val="Revision"/>
    <w:hidden/>
    <w:uiPriority w:val="99"/>
    <w:semiHidden/>
    <w:rsid w:val="00790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856450">
      <w:bodyDiv w:val="1"/>
      <w:marLeft w:val="0"/>
      <w:marRight w:val="0"/>
      <w:marTop w:val="0"/>
      <w:marBottom w:val="0"/>
      <w:divBdr>
        <w:top w:val="none" w:sz="0" w:space="0" w:color="auto"/>
        <w:left w:val="none" w:sz="0" w:space="0" w:color="auto"/>
        <w:bottom w:val="none" w:sz="0" w:space="0" w:color="auto"/>
        <w:right w:val="none" w:sz="0" w:space="0" w:color="auto"/>
      </w:divBdr>
      <w:divsChild>
        <w:div w:id="514417104">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3596804">
      <w:bodyDiv w:val="1"/>
      <w:marLeft w:val="0"/>
      <w:marRight w:val="0"/>
      <w:marTop w:val="0"/>
      <w:marBottom w:val="0"/>
      <w:divBdr>
        <w:top w:val="none" w:sz="0" w:space="0" w:color="auto"/>
        <w:left w:val="none" w:sz="0" w:space="0" w:color="auto"/>
        <w:bottom w:val="none" w:sz="0" w:space="0" w:color="auto"/>
        <w:right w:val="none" w:sz="0" w:space="0" w:color="auto"/>
      </w:divBdr>
      <w:divsChild>
        <w:div w:id="21178636">
          <w:marLeft w:val="446"/>
          <w:marRight w:val="0"/>
          <w:marTop w:val="0"/>
          <w:marBottom w:val="120"/>
          <w:divBdr>
            <w:top w:val="none" w:sz="0" w:space="0" w:color="auto"/>
            <w:left w:val="none" w:sz="0" w:space="0" w:color="auto"/>
            <w:bottom w:val="none" w:sz="0" w:space="0" w:color="auto"/>
            <w:right w:val="none" w:sz="0" w:space="0" w:color="auto"/>
          </w:divBdr>
        </w:div>
      </w:divsChild>
    </w:div>
    <w:div w:id="19565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8-e/Docs/R2-2206564.zip" TargetMode="External"/><Relationship Id="rId1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tk65284\Documents\3GPP\tsg_ran\WG2_RL2\TSGR2_118-e\Docs\R2-2205968.zip" TargetMode="External"/><Relationship Id="rId2" Type="http://schemas.openxmlformats.org/officeDocument/2006/relationships/customXml" Target="../customXml/item2.xml"/><Relationship Id="rId16" Type="http://schemas.openxmlformats.org/officeDocument/2006/relationships/hyperlink" Target="https://www.3gpp.org/ftp/TSG_RAN/WG2_RL2/TSGR2_118-e/Docs/R2-220659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18-e/Docs/R2-2206565.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8-e/Docs/R2-22065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5AIRPNAIUNRU-1916262822-1959</_dlc_DocId>
    <_dlc_DocIdUrl xmlns="71c5aaf6-e6ce-465b-b873-5148d2a4c105">
      <Url>https://nokia.sharepoint.com/sites/c5g/_layouts/15/DocIdRedir.aspx?ID=5AIRPNAIUNRU-1916262822-1959</Url>
      <Description>5AIRPNAIUNRU-1916262822-1959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4251367-A936-4640-9C83-086E2F538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A52E1CC8-B0E2-4193-933D-74161B4BAF50}">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3</Pages>
  <Words>1101</Words>
  <Characters>5707</Characters>
  <Application>Microsoft Office Word</Application>
  <DocSecurity>0</DocSecurity>
  <Lines>121</Lines>
  <Paragraphs>69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6739</CharactersWithSpaces>
  <SharedDoc>false</SharedDoc>
  <HyperlinkBase/>
  <HLinks>
    <vt:vector size="48" baseType="variant">
      <vt:variant>
        <vt:i4>6291544</vt:i4>
      </vt:variant>
      <vt:variant>
        <vt:i4>24</vt:i4>
      </vt:variant>
      <vt:variant>
        <vt:i4>0</vt:i4>
      </vt:variant>
      <vt:variant>
        <vt:i4>5</vt:i4>
      </vt:variant>
      <vt:variant>
        <vt:lpwstr>https://www.3gpp.org/ftp/tsg_ran/TSG_RAN/TSGR_94e/Docs/RP-213608.zip</vt:lpwstr>
      </vt:variant>
      <vt:variant>
        <vt:lpwstr/>
      </vt:variant>
      <vt:variant>
        <vt:i4>1572971</vt:i4>
      </vt:variant>
      <vt:variant>
        <vt:i4>21</vt:i4>
      </vt:variant>
      <vt:variant>
        <vt:i4>0</vt:i4>
      </vt:variant>
      <vt:variant>
        <vt:i4>5</vt:i4>
      </vt:variant>
      <vt:variant>
        <vt:lpwstr>https://www.3gpp.org/ftp/TSG_RAN/WG2_RL2/TSGR2_117-e/Docs/R2-2203417.zip</vt:lpwstr>
      </vt:variant>
      <vt:variant>
        <vt:lpwstr/>
      </vt:variant>
      <vt:variant>
        <vt:i4>458801</vt:i4>
      </vt:variant>
      <vt:variant>
        <vt:i4>18</vt:i4>
      </vt:variant>
      <vt:variant>
        <vt:i4>0</vt:i4>
      </vt:variant>
      <vt:variant>
        <vt:i4>5</vt:i4>
      </vt:variant>
      <vt:variant>
        <vt:lpwstr>https://www.3gpp.org/ftp/Email_Discussions/RAN2/%5BMisc%5D/ASN1 review/TS 37355 2022-03/37355_Rel-17_ASN1_ReviewFile_v21.docx</vt:lpwstr>
      </vt:variant>
      <vt:variant>
        <vt:lpwstr/>
      </vt:variant>
      <vt:variant>
        <vt:i4>7929950</vt:i4>
      </vt:variant>
      <vt:variant>
        <vt:i4>15</vt:i4>
      </vt:variant>
      <vt:variant>
        <vt:i4>0</vt:i4>
      </vt:variant>
      <vt:variant>
        <vt:i4>5</vt:i4>
      </vt:variant>
      <vt:variant>
        <vt:lpwstr>https://www.3gpp.org/ftp/Email_Discussions/RAN2/%5BMisc%5D/ASN1 review/Rel-17 2022-06 Phase 1/38331/ASN1 Review file/38331 Rel17 ASN1 review Ph1 v207.docx</vt:lpwstr>
      </vt:variant>
      <vt:variant>
        <vt:lpwstr/>
      </vt:variant>
      <vt:variant>
        <vt:i4>5505142</vt:i4>
      </vt:variant>
      <vt:variant>
        <vt:i4>12</vt:i4>
      </vt:variant>
      <vt:variant>
        <vt:i4>0</vt:i4>
      </vt:variant>
      <vt:variant>
        <vt:i4>5</vt:i4>
      </vt:variant>
      <vt:variant>
        <vt:lpwstr>https://www.3gpp.org/ftp/Email_Discussions/RAN2/%5BMisc%5D/ASN1 review/Rel-17 2022-06 Phase 1/38331/Class 0 issues/R2-20xxxxx NR Rel-17 ASN1 Editorials v59.docx</vt:lpwstr>
      </vt:variant>
      <vt:variant>
        <vt:lpwstr/>
      </vt:variant>
      <vt:variant>
        <vt:i4>3997713</vt:i4>
      </vt:variant>
      <vt:variant>
        <vt:i4>9</vt:i4>
      </vt:variant>
      <vt:variant>
        <vt:i4>0</vt:i4>
      </vt:variant>
      <vt:variant>
        <vt:i4>5</vt:i4>
      </vt:variant>
      <vt:variant>
        <vt:lpwstr>https://www.3gpp.org/ftp/Email_Discussions/RAN2/%5BMisc%5D/ASN1 review/Rel-17 2022-06 Phase 1/36331/ASN1 Review file/R2-22xxxxx 36331 R17 ASN1 review Ph1 v31.docx</vt:lpwstr>
      </vt:variant>
      <vt:variant>
        <vt:lpwstr/>
      </vt:variant>
      <vt:variant>
        <vt:i4>458786</vt:i4>
      </vt:variant>
      <vt:variant>
        <vt:i4>6</vt:i4>
      </vt:variant>
      <vt:variant>
        <vt:i4>0</vt:i4>
      </vt:variant>
      <vt:variant>
        <vt:i4>5</vt:i4>
      </vt:variant>
      <vt:variant>
        <vt:lpwstr>https://www.3gpp.org/ftp/Email_Discussions/RAN2/%5BMisc%5D/ASN1 review/Rel-17 2022-06 Phase 1/36331/Class 0 issues/R2-22xxxxx LTE Rel-17 ASN.1%2C Class 0 issues v06.docx</vt:lpwstr>
      </vt:variant>
      <vt:variant>
        <vt:lpwstr/>
      </vt:variant>
      <vt:variant>
        <vt:i4>5570642</vt:i4>
      </vt:variant>
      <vt:variant>
        <vt:i4>0</vt:i4>
      </vt:variant>
      <vt:variant>
        <vt:i4>0</vt:i4>
      </vt:variant>
      <vt:variant>
        <vt:i4>5</vt:i4>
      </vt:variant>
      <vt:variant>
        <vt:lpwstr>https://www.3gpp.org/ftp/Email_Discussions/RAN2/%5BMisc%5D/ASN1 review/Rel-17 2022-06 Phase 1/ASN.1 review guidelines Rel-17_r2.docx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12</cp:revision>
  <dcterms:created xsi:type="dcterms:W3CDTF">2022-05-27T05:54:00Z</dcterms:created>
  <dcterms:modified xsi:type="dcterms:W3CDTF">2022-05-30T15:17:00Z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d4d9d565-858e-4ff5-a393-8cadd56bd4a0</vt:lpwstr>
  </property>
</Properties>
</file>